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spacing w:after="160" w:lineRule="auto" w:line="360"/>
        <w:jc w:val="both"/>
        <w:rPr>
          <w:sz w:val="28"/>
          <w:szCs w:val="28"/>
        </w:rPr>
      </w:pPr>
      <w:bookmarkStart w:id="0" w:name="_GoBack"/>
      <w:bookmarkEnd w:id="0"/>
      <w:r>
        <w:rPr>
          <w:rFonts w:ascii="Calibri" w:cs="宋体" w:eastAsia="Calibri" w:hAnsi="Century Gothic" w:hint="default"/>
          <w:b/>
          <w:bCs/>
          <w:i w:val="false"/>
          <w:iCs w:val="false"/>
          <w:color w:val="auto"/>
          <w:kern w:val="2"/>
          <w:sz w:val="28"/>
          <w:szCs w:val="28"/>
          <w:highlight w:val="none"/>
          <w:vertAlign w:val="baseline"/>
          <w:em w:val="none"/>
          <w:lang w:val="en-US" w:eastAsia="en-US"/>
        </w:rPr>
        <w:t>1: Utangulizi wa Sheria ya Mkataba</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Maana ya Mkataba</w:t>
      </w:r>
    </w:p>
    <w:p>
      <w:pPr>
        <w:spacing w:after="160" w:lineRule="auto" w:line="360"/>
        <w:jc w:val="both"/>
        <w:rPr>
          <w:sz w:val="28"/>
          <w:szCs w:val="28"/>
        </w:rPr>
      </w:pP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w:t>
      </w:r>
      <w:r>
        <w:rPr>
          <w:rFonts w:ascii="Calibri" w:cs="宋体" w:eastAsia="Calibri" w:hAnsi="Century Gothic" w:hint="default"/>
          <w:b w:val="false"/>
          <w:bCs w:val="false"/>
          <w:i/>
          <w:iCs/>
          <w:color w:val="auto"/>
          <w:kern w:val="2"/>
          <w:sz w:val="28"/>
          <w:szCs w:val="28"/>
          <w:highlight w:val="none"/>
          <w:vertAlign w:val="baseline"/>
          <w:em w:val="none"/>
          <w:lang w:val="en-US" w:eastAsia="en-US"/>
        </w:rPr>
        <w:t>Kifungu cha 2(1)(h) cha Sheria ya Mkataba</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pamoja na kesi ya </w:t>
      </w:r>
      <w:r>
        <w:rPr>
          <w:rFonts w:ascii="Calibri" w:cs="宋体" w:eastAsia="Calibri" w:hAnsi="Century Gothic" w:hint="default"/>
          <w:b/>
          <w:bCs/>
          <w:i w:val="false"/>
          <w:iCs w:val="false"/>
          <w:color w:val="auto"/>
          <w:kern w:val="2"/>
          <w:sz w:val="28"/>
          <w:szCs w:val="28"/>
          <w:highlight w:val="none"/>
          <w:vertAlign w:val="baseline"/>
          <w:em w:val="none"/>
          <w:lang w:val="en-US" w:eastAsia="en-US"/>
        </w:rPr>
        <w:t>Carlil v Carbolic Smoke ball Co [1982] 1 QB 256</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inafafanua neno mkataba kama makubaliano ambayo yanaweza kutekelezwa na sheria. </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Vipengele vya mkataba halali</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Wahusika</w:t>
      </w:r>
    </w:p>
    <w:p>
      <w:pPr>
        <w:spacing w:after="160" w:lineRule="auto" w:line="360"/>
        <w:jc w:val="both"/>
        <w:rPr>
          <w:sz w:val="28"/>
          <w:szCs w:val="28"/>
        </w:rPr>
      </w:pP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Mambo muhimu zaidi katika makubaliano yoyote ni wahusika ambapo kutakuwa na pande mbili mmoja anayetoa ofa na mwingine anayekubali ofa hiyo, kama ilivyotokea katika kesi ya </w:t>
      </w:r>
      <w:r>
        <w:rPr>
          <w:rFonts w:ascii="Calibri" w:cs="宋体" w:eastAsia="Calibri" w:hAnsi="Century Gothic" w:hint="default"/>
          <w:b/>
          <w:bCs/>
          <w:i w:val="false"/>
          <w:iCs w:val="false"/>
          <w:color w:val="auto"/>
          <w:kern w:val="2"/>
          <w:sz w:val="28"/>
          <w:szCs w:val="28"/>
          <w:highlight w:val="none"/>
          <w:vertAlign w:val="baseline"/>
          <w:em w:val="none"/>
          <w:lang w:val="en-US" w:eastAsia="en-US"/>
        </w:rPr>
        <w:t>PATTY INTERPLAN LTD dhidi ya TPB BANK PLC CIVIL APPLICATION NO. 103/01 YA 2018</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ambapo na mahakama ilisema kuwa wahusika wamefungwa na mkataba wao kwasababu upande mmoja ulitoa ofa na upande mwingine ulikubaliana na hiyo ofa.</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Ofa na Kukubalika kwa ofa hiyo</w:t>
      </w:r>
    </w:p>
    <w:p>
      <w:pPr>
        <w:spacing w:after="160" w:lineRule="auto" w:line="360"/>
        <w:jc w:val="both"/>
        <w:rPr>
          <w:sz w:val="28"/>
          <w:szCs w:val="28"/>
        </w:rPr>
      </w:pP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Uhusiano wa kimkataba huanzishwa kwa upande mmoja kutoa ofa kwa mwingine na upande mwingine kukubali pendekezo lake ama kwa mujibu wa masharti ya ofa au kwa masharti mengine ambayo wahusika wanaweza kukubaliana. Ili makubaliano yawe yanaweza kutekelezwa na sheria, lazima kuwe na ofa na ukubalifu unaolingana na ofa hiyo. Ni ofa iliyotajwa inaweza kuitwa pendekezo ambalo, likikubaliwa na mwingine kulingana na masharti, litaunda Makubaliano ya lazima na kwa mujibu wa </w:t>
      </w:r>
      <w:r>
        <w:rPr>
          <w:rFonts w:ascii="Calibri" w:cs="宋体" w:eastAsia="Calibri" w:hAnsi="Century Gothic" w:hint="default"/>
          <w:b/>
          <w:bCs/>
          <w:i w:val="false"/>
          <w:iCs w:val="false"/>
          <w:color w:val="auto"/>
          <w:kern w:val="2"/>
          <w:sz w:val="28"/>
          <w:szCs w:val="28"/>
          <w:highlight w:val="none"/>
          <w:vertAlign w:val="baseline"/>
          <w:em w:val="none"/>
          <w:lang w:val="en-US" w:eastAsia="en-US"/>
        </w:rPr>
        <w:t>Kifungu cha 2(1)(a) cha Sheria ya Mkataba [Sura ya 345 RE 2019]</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kinatoa kwamba ofa ni aina fulani ya pendekezo lililotolewa na mtu mmoja na kuelekezwa kwa mwingine.</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Utekelezaji halali kisheria</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Y</w:t>
      </w:r>
      <w:r>
        <w:rPr>
          <w:rFonts w:ascii="Century Gothic" w:cs="宋体" w:eastAsia="Calibri" w:hAnsi="Century Gothic" w:hint="default"/>
          <w:b w:val="false"/>
          <w:bCs w:val="false"/>
          <w:i w:val="false"/>
          <w:iCs w:val="false"/>
          <w:color w:val="auto"/>
          <w:kern w:val="2"/>
          <w:sz w:val="28"/>
          <w:szCs w:val="28"/>
          <w:highlight w:val="none"/>
          <w:vertAlign w:val="baseline"/>
          <w:em w:val="none"/>
          <w:lang w:val="en-US" w:eastAsia="en-US"/>
        </w:rPr>
        <w:t>aani malipo yanayotokana na makubaliano lazima yawe halali kisheria, mfano malipo ya mkataba yanaweza kuwa fedha. Si halali kisheria kuwa watu walipane kitu ambacho hakitambuliwi kisheria. Mfano huwezi kuingia mkataba huku malipo yakawa kumpatia upande wa pili m</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adawa ya kulevya</w:t>
      </w:r>
      <w:r>
        <w:rPr>
          <w:rFonts w:ascii="Century Gothic" w:cs="宋体" w:eastAsia="Calibri" w:hAnsi="Century Gothic" w:hint="default"/>
          <w:b w:val="false"/>
          <w:bCs w:val="false"/>
          <w:i w:val="false"/>
          <w:iCs w:val="false"/>
          <w:color w:val="auto"/>
          <w:kern w:val="2"/>
          <w:sz w:val="28"/>
          <w:szCs w:val="28"/>
          <w:highlight w:val="none"/>
          <w:vertAlign w:val="baseline"/>
          <w:em w:val="none"/>
          <w:lang w:val="en-US" w:eastAsia="en-US"/>
        </w:rPr>
        <w:t>.</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w:t>
      </w:r>
      <w:r>
        <w:rPr>
          <w:rFonts w:ascii="Calibri" w:cs="宋体" w:eastAsia="Calibri" w:hAnsi="Century Gothic" w:hint="default"/>
          <w:b/>
          <w:bCs/>
          <w:i w:val="false"/>
          <w:iCs w:val="false"/>
          <w:color w:val="auto"/>
          <w:kern w:val="2"/>
          <w:sz w:val="28"/>
          <w:szCs w:val="28"/>
          <w:highlight w:val="none"/>
          <w:vertAlign w:val="baseline"/>
          <w:em w:val="none"/>
          <w:lang w:val="en-US" w:eastAsia="en-US"/>
        </w:rPr>
        <w:t>Kifungu cha 23 cha Sheria ya Mkataba</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kinatoa kwamba makubaliano ya kutekelezeka na sheria lazima yaungwe mkono kwa kuzingatia Utekelezaji wa halali.</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Nia ya kuunda Mahusiano ya Kisheria</w:t>
      </w:r>
    </w:p>
    <w:p>
      <w:pPr>
        <w:spacing w:after="160" w:lineRule="auto" w:line="360"/>
        <w:jc w:val="both"/>
        <w:rPr>
          <w:sz w:val="28"/>
          <w:szCs w:val="28"/>
        </w:rPr>
      </w:pP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Katika suala hili, wahusika watafungwa tu katika mkataba ikiwa shughuli zao zilikusudiwa kuunda uhusiano wa kisheria. Ni lazima ikumbukwe kwamba nia ni msingi wa kila mkataba. Nia ya pande zote mbili ya wahusika kufungiwa katika mkataba inaweza kuonyeshwa katika makubaliano yao ya mdomo au maandishi. Kama ilivyoonyeshwa kwenye kesi ya </w:t>
      </w:r>
      <w:r>
        <w:rPr>
          <w:rFonts w:ascii="Calibri" w:cs="宋体" w:eastAsia="Calibri" w:hAnsi="Century Gothic" w:hint="default"/>
          <w:b/>
          <w:bCs/>
          <w:i w:val="false"/>
          <w:iCs w:val="false"/>
          <w:color w:val="auto"/>
          <w:kern w:val="2"/>
          <w:sz w:val="28"/>
          <w:szCs w:val="28"/>
          <w:highlight w:val="none"/>
          <w:vertAlign w:val="baseline"/>
          <w:em w:val="none"/>
          <w:lang w:val="en-US" w:eastAsia="en-US"/>
        </w:rPr>
        <w:t>BALFOUR Vs. BALFOUR 1919</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ambapo ilielezwa kwamba sio makubaliano yote ni mikataba hii ikijumuisha mikataba ya kijamii, ndani na kisiasa kwani katika makubaliano ya aina hiyo hayana nia ya kuunda mahusiano ya kisheria.</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Nia au ridhaa huru</w:t>
      </w:r>
    </w:p>
    <w:p>
      <w:pPr>
        <w:spacing w:after="160" w:lineRule="auto" w:line="360"/>
        <w:jc w:val="both"/>
        <w:rPr>
          <w:sz w:val="28"/>
          <w:szCs w:val="28"/>
        </w:rPr>
      </w:pP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Katika suala hili, wahusika watafungwa tu katika mkataba ikiwa ridhaa au nia ya wahusika ilikuwa huru na ya kweli huku wakifuata masharti yote kwa uhuru na hii imeonyeshwa katika </w:t>
      </w:r>
      <w:r>
        <w:rPr>
          <w:rFonts w:ascii="Calibri" w:cs="宋体" w:eastAsia="Calibri" w:hAnsi="Century Gothic" w:hint="default"/>
          <w:b/>
          <w:bCs/>
          <w:i w:val="false"/>
          <w:iCs w:val="false"/>
          <w:color w:val="auto"/>
          <w:kern w:val="2"/>
          <w:sz w:val="28"/>
          <w:szCs w:val="28"/>
          <w:highlight w:val="none"/>
          <w:vertAlign w:val="baseline"/>
          <w:em w:val="none"/>
          <w:lang w:val="en-US" w:eastAsia="en-US"/>
        </w:rPr>
        <w:t>sheria ya mkataba kifungu cha 13 na 14</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ambapo katika kifungu hiki inasema kwamba ridhaa inasemekana kuwa huru ikiwa haijasababishwa na kulazimishwa na </w:t>
      </w:r>
    </w:p>
    <w:p>
      <w:pPr>
        <w:spacing w:after="160" w:lineRule="auto" w:line="36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Uwezo wa kuingia kwenye mkataba</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Hapa ili makubaliano yawe na nguvu ya kisheria lazima yawe yameingiwa na pande ambazo zina mamlaka na uwezo wa kisheria kuingia makubaliano. Mfano anayeingia makubaliano ya mkataba lazima awe amefikia umri wa kuanzia miaka 18 na mwenye akili timamu.</w:t>
      </w:r>
    </w:p>
    <w:p>
      <w:pPr>
        <w:spacing w:after="160" w:lineRule="auto" w:line="360"/>
        <w:jc w:val="both"/>
        <w:rPr>
          <w:sz w:val="28"/>
          <w:szCs w:val="28"/>
        </w:rPr>
      </w:pP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Katika hili wahusika wa mkataba wanapaswa kuwa na uwezo wa kuingia mkataba halali ambapo </w:t>
      </w:r>
      <w:r>
        <w:rPr>
          <w:rFonts w:ascii="Calibri" w:cs="宋体" w:eastAsia="Calibri" w:hAnsi="Century Gothic" w:hint="default"/>
          <w:b/>
          <w:bCs/>
          <w:i w:val="false"/>
          <w:iCs w:val="false"/>
          <w:color w:val="auto"/>
          <w:kern w:val="2"/>
          <w:sz w:val="28"/>
          <w:szCs w:val="28"/>
          <w:highlight w:val="none"/>
          <w:vertAlign w:val="baseline"/>
          <w:em w:val="none"/>
          <w:lang w:val="en-US" w:eastAsia="en-US"/>
        </w:rPr>
        <w:t>Kifungu cha 11 na 12 cha Sheria ya Mkataba</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 kinaeleza kuwa awe na umri wa miaka mingi na awe na akili timamu na aondolewe katika mkataba na sheria yoyote. </w:t>
      </w:r>
    </w:p>
    <w:p>
      <w:pPr>
        <w:pStyle w:val="style0"/>
        <w:jc w:val="both"/>
        <w:rPr>
          <w:sz w:val="28"/>
          <w:szCs w:val="28"/>
        </w:rPr>
      </w:pPr>
      <w:r>
        <w:rPr>
          <w:rFonts w:ascii="Calibri" w:cs="宋体" w:eastAsia="Calibri" w:hAnsi="Century Gothic" w:hint="default"/>
          <w:b/>
          <w:bCs/>
          <w:i w:val="false"/>
          <w:iCs w:val="false"/>
          <w:color w:val="auto"/>
          <w:kern w:val="2"/>
          <w:sz w:val="28"/>
          <w:szCs w:val="28"/>
          <w:highlight w:val="none"/>
          <w:vertAlign w:val="baseline"/>
          <w:em w:val="none"/>
          <w:lang w:val="en-US" w:eastAsia="en-US"/>
        </w:rPr>
        <w:t>Jambo la makubaliano liwe linakubalika kisheria</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 xml:space="preserve">Jambo husika ambalo pande zinazoingia mkataba zinakubaliana lazima liwe linakubalika na sheria. Huwezi kuingia mkataba kwa kufanya jambo la kihalifu/kijinai huo ni mkataba haramu. Mfano huwezi kuingia mkataba wa kulipwa kwa kuuza nyara za serikali maana kitendo cha kumiliki au kuuza nyara za serikali ni jinai kimekatazwa na sheria. Hivyo mkataba kama huo ni batili.Katika hili ili ihesabiwe kuwa ni mkataba wahusika lazima wazingatie kitu halali ambacho kitu kinapaswa kuwa kile kilichoidhinishwa, na kisichokatazwa na sheria, </w:t>
      </w:r>
      <w:r>
        <w:rPr>
          <w:rFonts w:ascii="Calibri" w:cs="宋体" w:eastAsia="Calibri" w:hAnsi="Century Gothic" w:hint="default"/>
          <w:b/>
          <w:bCs/>
          <w:i w:val="false"/>
          <w:iCs w:val="false"/>
          <w:color w:val="auto"/>
          <w:kern w:val="2"/>
          <w:sz w:val="28"/>
          <w:szCs w:val="28"/>
          <w:highlight w:val="none"/>
          <w:vertAlign w:val="baseline"/>
          <w:em w:val="none"/>
          <w:lang w:val="en-US" w:eastAsia="en-US"/>
        </w:rPr>
        <w:t xml:space="preserve">kifungu cha 23 cha sheria ya Sheria ya Mkataba </w:t>
      </w:r>
      <w:r>
        <w:rPr>
          <w:rFonts w:ascii="Calibri" w:cs="宋体" w:eastAsia="Calibri" w:hAnsi="Century Gothic" w:hint="default"/>
          <w:b w:val="false"/>
          <w:bCs w:val="false"/>
          <w:i w:val="false"/>
          <w:iCs w:val="false"/>
          <w:color w:val="auto"/>
          <w:kern w:val="2"/>
          <w:sz w:val="28"/>
          <w:szCs w:val="28"/>
          <w:highlight w:val="none"/>
          <w:vertAlign w:val="baseline"/>
          <w:em w:val="none"/>
          <w:lang w:val="en-US" w:eastAsia="en-US"/>
        </w:rPr>
        <w:t>kinatoa kwamba lengo la makubaliano lazima liwe halali, kwa maneno mengine inamaanisha kuwa kitu hicho hakipaswi kuwa kinyume cha sheria, kinyume cha maadili au kinyume na sera ya umma.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Century Gothic">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4094"/>
    <w:qFormat/>
    <w:pPr>
      <w:spacing w:before="0" w:after="0"/>
      <w:ind w:left="72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625</Words>
  <Characters>3447</Characters>
  <Application>WPS Office</Application>
  <Paragraphs>16</Paragraphs>
  <CharactersWithSpaces>4079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2025-02-06T06:52:17Z</dcterms:created>
  <dc:creator>A004SH</dc:creator>
  <lastModifiedBy>A004SH</lastModifiedBy>
  <dcterms:modified xsi:type="dcterms:W3CDTF">2025-02-06T06:54:28Z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32cf266ddf574e3787961e9a3dff9fef</vt:lpwstr>
  </property>
</Properties>
</file>